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48" w:rsidRDefault="00877148" w:rsidP="008771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СОВЕТ НАРОДНЫХ ДЕПУТАТОВ</w:t>
      </w:r>
    </w:p>
    <w:p w:rsidR="00877148" w:rsidRPr="006619A4" w:rsidRDefault="00877148" w:rsidP="008771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НОВОБЕЛЯНСКОГО </w:t>
      </w: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СЕЛЬСКОГО ПОСЕЛЕНИЯ</w:t>
      </w:r>
    </w:p>
    <w:p w:rsidR="00877148" w:rsidRPr="006619A4" w:rsidRDefault="00877148" w:rsidP="008771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877148" w:rsidRPr="006619A4" w:rsidRDefault="00877148" w:rsidP="008771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619A4">
        <w:rPr>
          <w:rFonts w:ascii="Arial" w:eastAsia="Times New Roman" w:hAnsi="Arial" w:cs="Arial"/>
          <w:color w:val="000000" w:themeColor="text1"/>
          <w:sz w:val="24"/>
          <w:szCs w:val="24"/>
        </w:rPr>
        <w:t>ВОРОНЕЖСКОЙ ОБЛАСТИ</w:t>
      </w:r>
    </w:p>
    <w:p w:rsidR="00877148" w:rsidRPr="006619A4" w:rsidRDefault="00877148" w:rsidP="008771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77148" w:rsidRPr="006619A4" w:rsidRDefault="00877148" w:rsidP="00877148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619A4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</w:p>
    <w:p w:rsidR="00877148" w:rsidRPr="006619A4" w:rsidRDefault="00877148" w:rsidP="00877148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от  20.06.2023г                   № 142</w:t>
      </w:r>
    </w:p>
    <w:p w:rsidR="00877148" w:rsidRPr="006619A4" w:rsidRDefault="00877148" w:rsidP="00877148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с. Новобелая</w:t>
      </w:r>
    </w:p>
    <w:p w:rsidR="00877148" w:rsidRPr="006619A4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77148" w:rsidRPr="006619A4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Положения об организации деятельности органов местного самоуправления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Новобелянского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 выявлению бесхозяйного недвижимого имущества и принятию его в муниципальную собственность</w:t>
      </w:r>
    </w:p>
    <w:p w:rsidR="00877148" w:rsidRPr="006619A4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77148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619A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225 Гражданского кодекса Российской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– 13.3,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</w:t>
      </w:r>
      <w:proofErr w:type="gramEnd"/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gramStart"/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недвижимости»,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Уставом </w:t>
      </w:r>
      <w:r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31.05.2023 № 2-12-2022 Совет народных депут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атов   Новобелянского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proofErr w:type="gramEnd"/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</w:p>
    <w:p w:rsidR="00877148" w:rsidRPr="006619A4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РЕШИЛ:</w:t>
      </w:r>
    </w:p>
    <w:p w:rsidR="00877148" w:rsidRPr="006619A4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прилагаемое Положение об организации деятельности органов местного самоуправления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Новобелянского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по выявлению бесхозяйного недвижимого имущества и принятию его в муниципальную собственность.</w:t>
      </w:r>
    </w:p>
    <w:p w:rsidR="00877148" w:rsidRPr="006619A4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>Опубликовать настоящее решение в Вестнике муниципальн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ых правовых актов    Новобелянского </w:t>
      </w:r>
      <w:r w:rsidRPr="006619A4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877148" w:rsidRPr="006619A4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877148" w:rsidRPr="006619A4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877148" w:rsidRPr="006619A4" w:rsidTr="003D559F">
        <w:tc>
          <w:tcPr>
            <w:tcW w:w="3209" w:type="dxa"/>
          </w:tcPr>
          <w:p w:rsidR="00877148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 Новобелянского</w:t>
            </w:r>
          </w:p>
          <w:p w:rsidR="00877148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877148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77148" w:rsidRPr="006619A4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19A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нар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одных депутатов  Новобелянского </w:t>
            </w:r>
            <w:r w:rsidRPr="006619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877148" w:rsidRPr="006619A4" w:rsidRDefault="00877148" w:rsidP="003D559F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</w:t>
            </w:r>
          </w:p>
        </w:tc>
        <w:tc>
          <w:tcPr>
            <w:tcW w:w="3210" w:type="dxa"/>
          </w:tcPr>
          <w:p w:rsidR="00877148" w:rsidRDefault="00877148" w:rsidP="003D559F">
            <w:pPr>
              <w:autoSpaceDE w:val="0"/>
              <w:autoSpaceDN w:val="0"/>
              <w:adjustRightInd w:val="0"/>
              <w:ind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77148" w:rsidRDefault="00877148" w:rsidP="003D559F">
            <w:pPr>
              <w:autoSpaceDE w:val="0"/>
              <w:autoSpaceDN w:val="0"/>
              <w:adjustRightInd w:val="0"/>
              <w:ind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  <w:p w:rsidR="00877148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77148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77148" w:rsidRPr="006619A4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С.Д.Шинкаренко</w:t>
            </w:r>
            <w:proofErr w:type="spellEnd"/>
          </w:p>
        </w:tc>
      </w:tr>
    </w:tbl>
    <w:p w:rsidR="00877148" w:rsidRPr="006619A4" w:rsidRDefault="00877148" w:rsidP="00877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877148" w:rsidRPr="006619A4" w:rsidTr="003D559F">
        <w:tc>
          <w:tcPr>
            <w:tcW w:w="3209" w:type="dxa"/>
          </w:tcPr>
          <w:p w:rsidR="00877148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77148" w:rsidRPr="006619A4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</w:tcPr>
          <w:p w:rsidR="00877148" w:rsidRPr="006619A4" w:rsidRDefault="00877148" w:rsidP="003D55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877148" w:rsidRPr="006619A4" w:rsidRDefault="00877148" w:rsidP="003D55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AD7DF1" w:rsidRPr="006619A4" w:rsidRDefault="00AD7DF1" w:rsidP="006619A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64F9" w:rsidRPr="006619A4" w:rsidRDefault="00AD7DF1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Утверждено</w:t>
      </w:r>
    </w:p>
    <w:p w:rsidR="003A64F9" w:rsidRPr="006619A4" w:rsidRDefault="00AD7DF1" w:rsidP="006C2A0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color w:val="000000" w:themeColor="text1"/>
          <w:sz w:val="24"/>
          <w:szCs w:val="24"/>
        </w:rPr>
        <w:t>р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ем</w:t>
      </w:r>
      <w:r w:rsidR="003A64F9" w:rsidRPr="006619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>Совет</w:t>
      </w:r>
      <w:r w:rsidR="00EE6F68">
        <w:rPr>
          <w:rFonts w:ascii="Arial" w:hAnsi="Arial" w:cs="Arial"/>
          <w:color w:val="000000" w:themeColor="text1"/>
          <w:sz w:val="24"/>
          <w:szCs w:val="24"/>
        </w:rPr>
        <w:t xml:space="preserve">а народных депутатов Новобелянского </w:t>
      </w:r>
      <w:r w:rsidRPr="006619A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EE6F68">
        <w:rPr>
          <w:rFonts w:ascii="Arial" w:hAnsi="Arial" w:cs="Arial"/>
          <w:color w:val="000000" w:themeColor="text1"/>
          <w:sz w:val="24"/>
          <w:szCs w:val="24"/>
        </w:rPr>
        <w:t>от 20.06.2023г № 142</w:t>
      </w:r>
    </w:p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_GoBack"/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AD7DF1" w:rsidRPr="006619A4" w:rsidRDefault="00AD7DF1" w:rsidP="00145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об организации деятельности органов местного </w:t>
      </w:r>
      <w:r w:rsidR="00EE6F68">
        <w:rPr>
          <w:rFonts w:ascii="Arial" w:hAnsi="Arial" w:cs="Arial"/>
          <w:bCs/>
          <w:color w:val="000000" w:themeColor="text1"/>
          <w:sz w:val="24"/>
          <w:szCs w:val="24"/>
        </w:rPr>
        <w:t xml:space="preserve">самоуправления   Новобелянского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 выявлению бесхозяйного недвижимого имущества и принятию его в муниципальную собственность</w:t>
      </w:r>
    </w:p>
    <w:bookmarkEnd w:id="0"/>
    <w:p w:rsidR="00AD7DF1" w:rsidRPr="006619A4" w:rsidRDefault="00AD7DF1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 организации деятельности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органов местного самоуправления </w:t>
      </w:r>
      <w:r w:rsidR="00EE6F68">
        <w:rPr>
          <w:rFonts w:ascii="Arial" w:hAnsi="Arial" w:cs="Arial"/>
          <w:bCs/>
          <w:color w:val="000000" w:themeColor="text1"/>
          <w:sz w:val="24"/>
          <w:szCs w:val="24"/>
        </w:rPr>
        <w:t xml:space="preserve">Новобелянского 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(далее – муниципальное образование) по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выявлению бесхозяйного недвижимого имущества, находящегося на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образования, и принятию указанного имущества в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муниципальную собственность.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2. Настоящее Положение распространяется на недвижимое имущество (за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исключением земельных участков, судов), которое не имеет собственника или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 которого неизвестен либо от права собственности на которое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 отказался (далее – бесхозяйная недвижимая вещь).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3. Мероприятия по выявлению бесхозяйных недвижимых вещей 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установлению их собственников, постановке на учет бесхозяйных недвижимых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принятию их в муниципальную собственность осуществляет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администрация муниципального образования (далее – уполномоченный орган).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4. Сведения об объекте недвижимого имущества, имеющем признаки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бесхозяйной недвижимой вещи (далее – выявленный объект недвижимого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имущества), поступают в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от федеральных органов государственной власти, органов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власти Воронежской области, органов местного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самоуправления иных муниципальных образований;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от физических и юридических лиц;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 от собственника объекта недвижимого имущества в форме заявления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 отказе от права собственности на данный объект;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4) в результате проведения инвентаризации муниципального имущества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5) в результате проведения муниципального земельного контроля на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территории муниципального 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6) в результате обследования или осмотра территории муниципального</w:t>
      </w:r>
      <w:r w:rsidR="00427F4D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 должностными лицами администрации муниципального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 в иных случаях и формах, не запрещенных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5. К заявлению, указанному в подпункте 3 пункта 4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прилагаются: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копия документа, удостоверяющего личность (для физического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имущества), либо выписка из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Единого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государственного реестра юридических лиц (для юридического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лица – собственника объекта недвижимого имущества);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копии правоустанавливающих документов, подтверждающих наличие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права собственности у лица, отказывающегося от права собственности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объект недвижимого имущества.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6. На основании поступивших сведений, указанных в пункте 4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Положения, уполномоченный орган в течение 30 календарных дней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 дня поступления указанных сведений осуществляет сбор информации,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подтверждающей, что выявленный объект недвижимого имущества не имеет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собственника или его собственник неизвестен, или от права собственности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него собственник отказался. Для этих целей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рассматривает поступившие сведения, в том числе заявления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собственников объектов недвижимого имущества об отказе от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данные объекты;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проверяет наличие информации о выявленном объекте недвижимого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в реестре муниципального имущества муниципального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образования;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3) организует осмотр выявленного объекта недвижимого имущества с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выездом на место. Сведения о выявленном объекте недвижимого имущества,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установленные в результате осмотра, отражаются в акте, который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подписывается должностным лицом уполномоченного органа, проводившим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осмотр;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4) направляет запрос в уполномоченный орган исполнительной власти,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осуществляющий государственный кадастровый учет, государственную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регистрацию прав на недвижимое имущество, ведение Единого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государственного реестра недвижимости (далее – орган регистрации прав), для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получения выписки из Единого государственного реестра недвижимости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выявленный объект недвижимого имущества;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5) направляет запросы в государственные органы (организации),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осуществлявшие регистрацию прав на недвижимое имущество до введения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действие Федерального закона от 21 июля 1997 года № 122-ФЗ «О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регистрации прав на недвижимое имущество и сделок с ним»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 до начала деятельности учреждения юстиции по государственной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на недвижимое имущество и сделок с ним на территории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области, для получения документа, подтверждающего, что право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выявленный объект недвижимого имущества не было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зарегистрировано указанными государственными органами (организациями);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6) направляет запросы в федеральный орган исполнительной власти,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уполномоченный на ведение реестра федерального имущества,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исполнительной власти Воронежской области, уполномоченный на ведение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реестра государственной собственности Воронежской области, для получения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документов, подтверждающих, что выявленный объект недвижимого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имущества не учтен в реестре федерального имущества, реестре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государственной собственности Воронежской области;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7) опубликовывает в средствах массовой информации и размещает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муниципального образования в информационно-телекоммуникационной сети «Интернет» сведения о выявленном объекте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имущества, и об отсутствии у уполномоченного органа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информации о возможном собственнике (владельце) данного объекта.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7. Действия, указанные в подпунктах 2, 5 – 7 пункта 6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уполномоченным органом не осуществляются, если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уполномоченный орган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поступило заявление собственника объекта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недвижимого имущества об отказе от права собственности на данный объект.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8. Если в результате действий, указанных в пункте 6 настоящего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Положения, установлено, что выявленный объект недвижимого имущества не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имеет собственника или его собственник неизвестен, или от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него собственник отказался, уполномоченный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принимает решение в форме правового акта о постановке на учет бесхозяйной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недвижимой вещи в органе регистрации прав.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9. Решение, указанное в пункте 8 настоящего Положения, принимается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уполномоченным органом по истечении 30 календарных дней со дня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опубликования и размещения сведений в соответствии с подпунктом 7 пункта 6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настоящего Положения.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10. В целях постановки бесхозяйных недвижимых вещей на учет в органе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уполномоченный орган на основании решения, указанного в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пункте 8 настоящего Положения: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обеспечивает подготовку документов, необходимых для постановки на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учет бесхозяйных недвижимых вещей;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направляет заявление о постановке на учет бесхозяйных недвижимых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вещей и документы, указанные в подпункте 1 настоящего пункта, в орган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регистрации прав в соответствии с законодательством.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11. По истечении года со дня постановки бесхозяйной недвижимой вещи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на учет в органе регистрации прав уполномоченный орган вправе принять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об обращении в суд с требованием о признании права муниципальной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собственности на указанную вещь.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12. На основании вступившего в законную силу решения суда о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признании права муниципальной собственности на бесхозяйную недвижимую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вещь уполномоченный орган:</w:t>
      </w:r>
    </w:p>
    <w:p w:rsidR="003A64F9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1) осуществляет действия в целях государственной регистрации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имущества;</w:t>
      </w:r>
    </w:p>
    <w:p w:rsidR="006B557D" w:rsidRPr="006619A4" w:rsidRDefault="003A64F9" w:rsidP="0066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2) в течение 10 рабочих дней со дня государственной регистрации права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муниципальной собственности на объект недвижимого имущества принимает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решение о включении объекта недвижимого имущества в реестр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имущества муниципального образования и вносит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6619A4">
        <w:rPr>
          <w:rFonts w:ascii="Arial" w:hAnsi="Arial" w:cs="Arial"/>
          <w:bCs/>
          <w:color w:val="000000" w:themeColor="text1"/>
          <w:sz w:val="24"/>
          <w:szCs w:val="24"/>
        </w:rPr>
        <w:t>соответствующие</w:t>
      </w:r>
      <w:r w:rsidR="00E76364" w:rsidRPr="006619A4">
        <w:rPr>
          <w:rFonts w:ascii="Arial" w:hAnsi="Arial" w:cs="Arial"/>
          <w:bCs/>
          <w:color w:val="000000" w:themeColor="text1"/>
          <w:sz w:val="24"/>
          <w:szCs w:val="24"/>
        </w:rPr>
        <w:t xml:space="preserve"> изменения в указанный реестр.</w:t>
      </w:r>
    </w:p>
    <w:sectPr w:rsidR="006B557D" w:rsidRPr="006619A4" w:rsidSect="006619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6D" w:rsidRDefault="0000176D" w:rsidP="00877148">
      <w:pPr>
        <w:spacing w:after="0" w:line="240" w:lineRule="auto"/>
      </w:pPr>
      <w:r>
        <w:separator/>
      </w:r>
    </w:p>
  </w:endnote>
  <w:endnote w:type="continuationSeparator" w:id="0">
    <w:p w:rsidR="0000176D" w:rsidRDefault="0000176D" w:rsidP="0087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6D" w:rsidRDefault="0000176D" w:rsidP="00877148">
      <w:pPr>
        <w:spacing w:after="0" w:line="240" w:lineRule="auto"/>
      </w:pPr>
      <w:r>
        <w:separator/>
      </w:r>
    </w:p>
  </w:footnote>
  <w:footnote w:type="continuationSeparator" w:id="0">
    <w:p w:rsidR="0000176D" w:rsidRDefault="0000176D" w:rsidP="00877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AF6"/>
    <w:rsid w:val="0000176D"/>
    <w:rsid w:val="00074EAC"/>
    <w:rsid w:val="000D22F7"/>
    <w:rsid w:val="0014578B"/>
    <w:rsid w:val="001848DE"/>
    <w:rsid w:val="00280B11"/>
    <w:rsid w:val="003A64F9"/>
    <w:rsid w:val="00427F4D"/>
    <w:rsid w:val="004E367D"/>
    <w:rsid w:val="006619A4"/>
    <w:rsid w:val="006B557D"/>
    <w:rsid w:val="006C2A06"/>
    <w:rsid w:val="0083616D"/>
    <w:rsid w:val="00877148"/>
    <w:rsid w:val="008E2DC3"/>
    <w:rsid w:val="00935369"/>
    <w:rsid w:val="00955AF6"/>
    <w:rsid w:val="00AD7DF1"/>
    <w:rsid w:val="00D73B50"/>
    <w:rsid w:val="00DF0257"/>
    <w:rsid w:val="00E76364"/>
    <w:rsid w:val="00EE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367D"/>
    <w:pPr>
      <w:widowControl w:val="0"/>
      <w:spacing w:after="0" w:line="240" w:lineRule="auto"/>
      <w:ind w:left="10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E367D"/>
    <w:rPr>
      <w:rFonts w:ascii="Times New Roman" w:eastAsia="Times New Roman" w:hAnsi="Times New Roman"/>
      <w:sz w:val="28"/>
      <w:szCs w:val="28"/>
      <w:lang w:val="en-US"/>
    </w:rPr>
  </w:style>
  <w:style w:type="table" w:styleId="a5">
    <w:name w:val="Table Grid"/>
    <w:basedOn w:val="a1"/>
    <w:uiPriority w:val="39"/>
    <w:rsid w:val="00AD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7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7148"/>
  </w:style>
  <w:style w:type="paragraph" w:styleId="a8">
    <w:name w:val="footer"/>
    <w:basedOn w:val="a"/>
    <w:link w:val="a9"/>
    <w:uiPriority w:val="99"/>
    <w:semiHidden/>
    <w:unhideWhenUsed/>
    <w:rsid w:val="0087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7148"/>
  </w:style>
  <w:style w:type="paragraph" w:styleId="aa">
    <w:name w:val="Balloon Text"/>
    <w:basedOn w:val="a"/>
    <w:link w:val="ab"/>
    <w:uiPriority w:val="99"/>
    <w:semiHidden/>
    <w:unhideWhenUsed/>
    <w:rsid w:val="00EE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22</cp:revision>
  <cp:lastPrinted>2023-06-26T05:28:00Z</cp:lastPrinted>
  <dcterms:created xsi:type="dcterms:W3CDTF">2023-06-13T10:52:00Z</dcterms:created>
  <dcterms:modified xsi:type="dcterms:W3CDTF">2023-06-26T05:29:00Z</dcterms:modified>
</cp:coreProperties>
</file>